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FB" w:rsidRPr="00904FFB" w:rsidRDefault="00904FFB" w:rsidP="00904FFB">
      <w:pPr>
        <w:shd w:val="clear" w:color="auto" w:fill="FFFFFF"/>
        <w:spacing w:after="100" w:afterAutospacing="1"/>
        <w:rPr>
          <w:rFonts w:ascii="Arial" w:hAnsi="Arial" w:cs="Arial"/>
          <w:color w:val="484848"/>
          <w:sz w:val="24"/>
          <w:szCs w:val="24"/>
        </w:rPr>
      </w:pPr>
      <w:r w:rsidRPr="00904FFB">
        <w:rPr>
          <w:rFonts w:ascii="Arial" w:hAnsi="Arial" w:cs="Arial"/>
          <w:color w:val="484848"/>
          <w:sz w:val="24"/>
          <w:szCs w:val="24"/>
        </w:rPr>
        <w:t xml:space="preserve">Внутренний анализ коррупционных рисков: </w:t>
      </w:r>
      <w:r>
        <w:rPr>
          <w:rFonts w:ascii="Arial" w:hAnsi="Arial" w:cs="Arial"/>
          <w:color w:val="484848"/>
          <w:sz w:val="24"/>
          <w:szCs w:val="24"/>
        </w:rPr>
        <w:t>КГП на ПХВ</w:t>
      </w:r>
      <w:r w:rsidRPr="00904FFB">
        <w:rPr>
          <w:rFonts w:ascii="Arial" w:hAnsi="Arial" w:cs="Arial"/>
          <w:color w:val="484848"/>
          <w:sz w:val="24"/>
          <w:szCs w:val="24"/>
        </w:rPr>
        <w:t xml:space="preserve"> </w:t>
      </w:r>
      <w:r>
        <w:rPr>
          <w:rFonts w:ascii="Arial" w:hAnsi="Arial" w:cs="Arial"/>
          <w:color w:val="484848"/>
          <w:sz w:val="24"/>
          <w:szCs w:val="24"/>
        </w:rPr>
        <w:t xml:space="preserve"> </w:t>
      </w:r>
      <w:r w:rsidRPr="00904FFB">
        <w:rPr>
          <w:rFonts w:ascii="Arial" w:hAnsi="Arial" w:cs="Arial"/>
          <w:color w:val="484848"/>
          <w:sz w:val="24"/>
          <w:szCs w:val="24"/>
        </w:rPr>
        <w:t>«</w:t>
      </w:r>
      <w:r>
        <w:rPr>
          <w:rFonts w:ascii="Arial" w:hAnsi="Arial" w:cs="Arial"/>
          <w:color w:val="484848"/>
          <w:sz w:val="24"/>
          <w:szCs w:val="24"/>
        </w:rPr>
        <w:t>Областная стоматологическая поликлиника</w:t>
      </w:r>
      <w:r w:rsidRPr="00904FFB">
        <w:rPr>
          <w:rFonts w:ascii="Arial" w:hAnsi="Arial" w:cs="Arial"/>
          <w:color w:val="484848"/>
          <w:sz w:val="24"/>
          <w:szCs w:val="24"/>
        </w:rPr>
        <w:t>»</w:t>
      </w:r>
      <w:r>
        <w:rPr>
          <w:rFonts w:ascii="Arial" w:hAnsi="Arial" w:cs="Arial"/>
          <w:color w:val="484848"/>
          <w:sz w:val="24"/>
          <w:szCs w:val="24"/>
        </w:rPr>
        <w:t xml:space="preserve"> УЗКО</w:t>
      </w:r>
    </w:p>
    <w:tbl>
      <w:tblPr>
        <w:tblW w:w="12820" w:type="dxa"/>
        <w:shd w:val="clear" w:color="auto" w:fill="FFFFFF"/>
        <w:tblCellMar>
          <w:top w:w="15" w:type="dxa"/>
          <w:left w:w="15" w:type="dxa"/>
          <w:bottom w:w="15" w:type="dxa"/>
          <w:right w:w="15" w:type="dxa"/>
        </w:tblCellMar>
        <w:tblLook w:val="04A0" w:firstRow="1" w:lastRow="0" w:firstColumn="1" w:lastColumn="0" w:noHBand="0" w:noVBand="1"/>
      </w:tblPr>
      <w:tblGrid>
        <w:gridCol w:w="3312"/>
        <w:gridCol w:w="3791"/>
        <w:gridCol w:w="3119"/>
        <w:gridCol w:w="2598"/>
      </w:tblGrid>
      <w:tr w:rsidR="00904FFB" w:rsidRPr="00904FFB" w:rsidTr="00904FFB">
        <w:tc>
          <w:tcPr>
            <w:tcW w:w="3312" w:type="dxa"/>
            <w:shd w:val="clear" w:color="auto" w:fill="FFFFFF"/>
            <w:vAlign w:val="center"/>
            <w:hideMark/>
          </w:tcPr>
          <w:p w:rsidR="00904FFB" w:rsidRPr="00904FFB" w:rsidRDefault="00904FFB" w:rsidP="00904FFB">
            <w:pPr>
              <w:spacing w:after="100" w:afterAutospacing="1"/>
              <w:rPr>
                <w:rFonts w:ascii="Arial" w:hAnsi="Arial" w:cs="Arial"/>
                <w:b/>
                <w:color w:val="484848"/>
                <w:sz w:val="21"/>
                <w:szCs w:val="21"/>
              </w:rPr>
            </w:pPr>
            <w:r w:rsidRPr="00904FFB">
              <w:rPr>
                <w:rFonts w:ascii="Inter" w:hAnsi="Inter" w:cs="Arial"/>
                <w:b/>
                <w:color w:val="484848"/>
                <w:sz w:val="30"/>
                <w:szCs w:val="30"/>
              </w:rPr>
              <w:t>Должность подверженная коррупционному риску</w:t>
            </w:r>
          </w:p>
        </w:tc>
        <w:tc>
          <w:tcPr>
            <w:tcW w:w="3791" w:type="dxa"/>
            <w:shd w:val="clear" w:color="auto" w:fill="FFFFFF"/>
            <w:vAlign w:val="center"/>
            <w:hideMark/>
          </w:tcPr>
          <w:p w:rsidR="00904FFB" w:rsidRPr="00904FFB" w:rsidRDefault="00904FFB" w:rsidP="00904FFB">
            <w:pPr>
              <w:spacing w:after="100" w:afterAutospacing="1"/>
              <w:rPr>
                <w:rFonts w:ascii="Inter" w:hAnsi="Inter" w:cs="Arial"/>
                <w:b/>
                <w:color w:val="484848"/>
                <w:sz w:val="21"/>
                <w:szCs w:val="21"/>
              </w:rPr>
            </w:pPr>
            <w:r w:rsidRPr="00904FFB">
              <w:rPr>
                <w:rFonts w:ascii="Inter" w:hAnsi="Inter" w:cs="Arial"/>
                <w:b/>
                <w:color w:val="484848"/>
                <w:sz w:val="30"/>
                <w:szCs w:val="30"/>
              </w:rPr>
              <w:t>Должностные полномочия, содержащие коррупционные риски</w:t>
            </w:r>
          </w:p>
        </w:tc>
        <w:tc>
          <w:tcPr>
            <w:tcW w:w="3119" w:type="dxa"/>
            <w:shd w:val="clear" w:color="auto" w:fill="FFFFFF"/>
            <w:vAlign w:val="center"/>
            <w:hideMark/>
          </w:tcPr>
          <w:p w:rsidR="00904FFB" w:rsidRPr="00904FFB" w:rsidRDefault="00904FFB" w:rsidP="00904FFB">
            <w:pPr>
              <w:spacing w:after="100" w:afterAutospacing="1"/>
              <w:rPr>
                <w:rFonts w:ascii="Inter" w:hAnsi="Inter" w:cs="Arial"/>
                <w:b/>
                <w:color w:val="484848"/>
                <w:sz w:val="21"/>
                <w:szCs w:val="21"/>
              </w:rPr>
            </w:pPr>
            <w:r w:rsidRPr="00904FFB">
              <w:rPr>
                <w:rFonts w:ascii="Inter" w:hAnsi="Inter" w:cs="Arial"/>
                <w:b/>
                <w:color w:val="484848"/>
                <w:sz w:val="30"/>
                <w:szCs w:val="30"/>
              </w:rPr>
              <w:t>Коррупционные риски</w:t>
            </w:r>
          </w:p>
        </w:tc>
        <w:tc>
          <w:tcPr>
            <w:tcW w:w="2598" w:type="dxa"/>
            <w:shd w:val="clear" w:color="auto" w:fill="FFFFFF"/>
            <w:vAlign w:val="center"/>
            <w:hideMark/>
          </w:tcPr>
          <w:p w:rsidR="00904FFB" w:rsidRPr="00904FFB" w:rsidRDefault="00904FFB" w:rsidP="00904FFB">
            <w:pPr>
              <w:spacing w:after="100" w:afterAutospacing="1"/>
              <w:rPr>
                <w:rFonts w:ascii="Inter" w:hAnsi="Inter" w:cs="Arial"/>
                <w:b/>
                <w:color w:val="484848"/>
                <w:sz w:val="21"/>
                <w:szCs w:val="21"/>
              </w:rPr>
            </w:pPr>
            <w:r w:rsidRPr="00904FFB">
              <w:rPr>
                <w:rFonts w:ascii="Inter" w:hAnsi="Inter" w:cs="Arial"/>
                <w:b/>
                <w:color w:val="484848"/>
                <w:sz w:val="30"/>
                <w:szCs w:val="30"/>
              </w:rPr>
              <w:t>Уровень коррупционных рисков</w:t>
            </w:r>
          </w:p>
        </w:tc>
      </w:tr>
      <w:tr w:rsidR="00904FFB" w:rsidRPr="00904FFB" w:rsidTr="00904FFB">
        <w:tc>
          <w:tcPr>
            <w:tcW w:w="3312"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Руководитель управления</w:t>
            </w:r>
          </w:p>
        </w:tc>
        <w:tc>
          <w:tcPr>
            <w:tcW w:w="3791"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Использование своих служебных полномочий при решении личных вопросов, связанных с удовлетворением материальных потребностей должностного лица или его родственников либо иной личной заинтересованности, принимает все управленческие решения </w:t>
            </w:r>
          </w:p>
        </w:tc>
        <w:tc>
          <w:tcPr>
            <w:tcW w:w="3119"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Факты не установлены</w:t>
            </w:r>
          </w:p>
        </w:tc>
        <w:tc>
          <w:tcPr>
            <w:tcW w:w="2598"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Высокий</w:t>
            </w:r>
          </w:p>
        </w:tc>
      </w:tr>
      <w:tr w:rsidR="00904FFB" w:rsidRPr="00904FFB" w:rsidTr="00904FFB">
        <w:tc>
          <w:tcPr>
            <w:tcW w:w="3312" w:type="dxa"/>
            <w:shd w:val="clear" w:color="auto" w:fill="FFFFFF"/>
            <w:vAlign w:val="center"/>
          </w:tcPr>
          <w:p w:rsidR="00904FFB" w:rsidRPr="00904FFB" w:rsidRDefault="00904FFB" w:rsidP="00904FFB">
            <w:pPr>
              <w:spacing w:after="100" w:afterAutospacing="1"/>
              <w:rPr>
                <w:rFonts w:ascii="Inter" w:hAnsi="Inter" w:cs="Arial"/>
                <w:color w:val="484848"/>
                <w:sz w:val="21"/>
                <w:szCs w:val="21"/>
              </w:rPr>
            </w:pPr>
          </w:p>
        </w:tc>
        <w:tc>
          <w:tcPr>
            <w:tcW w:w="3791" w:type="dxa"/>
            <w:shd w:val="clear" w:color="auto" w:fill="FFFFFF"/>
            <w:vAlign w:val="center"/>
          </w:tcPr>
          <w:p w:rsidR="00904FFB" w:rsidRPr="00904FFB" w:rsidRDefault="00904FFB" w:rsidP="00904FFB">
            <w:pPr>
              <w:spacing w:after="100" w:afterAutospacing="1"/>
              <w:rPr>
                <w:rFonts w:ascii="Inter" w:hAnsi="Inter" w:cs="Arial"/>
                <w:color w:val="484848"/>
                <w:sz w:val="21"/>
                <w:szCs w:val="21"/>
              </w:rPr>
            </w:pPr>
          </w:p>
        </w:tc>
        <w:tc>
          <w:tcPr>
            <w:tcW w:w="3119" w:type="dxa"/>
            <w:shd w:val="clear" w:color="auto" w:fill="FFFFFF"/>
            <w:vAlign w:val="center"/>
          </w:tcPr>
          <w:p w:rsidR="00904FFB" w:rsidRPr="00904FFB" w:rsidRDefault="00904FFB" w:rsidP="00904FFB">
            <w:pPr>
              <w:spacing w:after="100" w:afterAutospacing="1"/>
              <w:rPr>
                <w:rFonts w:ascii="Inter" w:hAnsi="Inter" w:cs="Arial"/>
                <w:color w:val="484848"/>
                <w:sz w:val="21"/>
                <w:szCs w:val="21"/>
              </w:rPr>
            </w:pPr>
          </w:p>
        </w:tc>
        <w:tc>
          <w:tcPr>
            <w:tcW w:w="2598" w:type="dxa"/>
            <w:shd w:val="clear" w:color="auto" w:fill="FFFFFF"/>
            <w:vAlign w:val="center"/>
          </w:tcPr>
          <w:p w:rsidR="00904FFB" w:rsidRPr="00904FFB" w:rsidRDefault="00904FFB" w:rsidP="00904FFB">
            <w:pPr>
              <w:spacing w:after="100" w:afterAutospacing="1"/>
              <w:rPr>
                <w:rFonts w:ascii="Inter" w:hAnsi="Inter" w:cs="Arial"/>
                <w:color w:val="484848"/>
                <w:sz w:val="21"/>
                <w:szCs w:val="21"/>
              </w:rPr>
            </w:pPr>
          </w:p>
        </w:tc>
      </w:tr>
      <w:tr w:rsidR="00904FFB" w:rsidRPr="00904FFB" w:rsidTr="00904FFB">
        <w:tc>
          <w:tcPr>
            <w:tcW w:w="3312"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Заместитель руководителя</w:t>
            </w:r>
          </w:p>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 </w:t>
            </w:r>
          </w:p>
        </w:tc>
        <w:tc>
          <w:tcPr>
            <w:tcW w:w="3791" w:type="dxa"/>
            <w:shd w:val="clear" w:color="auto" w:fill="FFFFFF"/>
            <w:vAlign w:val="center"/>
            <w:hideMark/>
          </w:tcPr>
          <w:p w:rsid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Предоставление непредусмотренных законом преимуществ (протекционизм, семейственность) для поступления на работу.</w:t>
            </w:r>
          </w:p>
          <w:p w:rsidR="00904FFB" w:rsidRPr="00904FFB" w:rsidRDefault="00904FFB" w:rsidP="00904FFB">
            <w:pPr>
              <w:spacing w:after="100" w:afterAutospacing="1"/>
              <w:ind w:right="-299"/>
              <w:rPr>
                <w:rFonts w:ascii="Inter" w:hAnsi="Inter" w:cs="Arial"/>
                <w:color w:val="484848"/>
                <w:sz w:val="21"/>
                <w:szCs w:val="21"/>
              </w:rPr>
            </w:pPr>
            <w:r>
              <w:rPr>
                <w:rFonts w:ascii="Inter" w:hAnsi="Inter" w:cs="Arial"/>
                <w:color w:val="484848"/>
                <w:sz w:val="21"/>
                <w:szCs w:val="21"/>
              </w:rPr>
              <w:t xml:space="preserve"> </w:t>
            </w:r>
          </w:p>
        </w:tc>
        <w:tc>
          <w:tcPr>
            <w:tcW w:w="3119"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Факты не установлены</w:t>
            </w:r>
            <w:bookmarkStart w:id="0" w:name="_GoBack"/>
            <w:bookmarkEnd w:id="0"/>
          </w:p>
        </w:tc>
        <w:tc>
          <w:tcPr>
            <w:tcW w:w="2598" w:type="dxa"/>
            <w:shd w:val="clear" w:color="auto" w:fill="FFFFFF"/>
            <w:vAlign w:val="center"/>
            <w:hideMark/>
          </w:tcPr>
          <w:p w:rsidR="00904FFB" w:rsidRPr="00904FFB" w:rsidRDefault="00904FFB" w:rsidP="00904FFB">
            <w:pPr>
              <w:spacing w:after="100" w:afterAutospacing="1"/>
              <w:rPr>
                <w:rFonts w:ascii="Inter" w:hAnsi="Inter" w:cs="Arial"/>
                <w:color w:val="484848"/>
                <w:sz w:val="21"/>
                <w:szCs w:val="21"/>
              </w:rPr>
            </w:pPr>
            <w:r w:rsidRPr="00904FFB">
              <w:rPr>
                <w:rFonts w:ascii="Inter" w:hAnsi="Inter" w:cs="Arial"/>
                <w:color w:val="484848"/>
                <w:sz w:val="21"/>
                <w:szCs w:val="21"/>
              </w:rPr>
              <w:t>Высокий</w:t>
            </w:r>
          </w:p>
        </w:tc>
      </w:tr>
      <w:tr w:rsidR="00904FFB" w:rsidRPr="00904FFB" w:rsidTr="00904FFB">
        <w:tc>
          <w:tcPr>
            <w:tcW w:w="3312" w:type="dxa"/>
            <w:shd w:val="clear" w:color="auto" w:fill="FFFFFF"/>
            <w:vAlign w:val="center"/>
            <w:hideMark/>
          </w:tcPr>
          <w:p w:rsidR="00904FFB" w:rsidRPr="00904FFB" w:rsidRDefault="00904FFB" w:rsidP="00F33397">
            <w:pPr>
              <w:spacing w:after="100" w:afterAutospacing="1"/>
              <w:rPr>
                <w:rFonts w:ascii="Inter" w:hAnsi="Inter" w:cs="Arial"/>
                <w:color w:val="484848"/>
                <w:sz w:val="21"/>
                <w:szCs w:val="21"/>
              </w:rPr>
            </w:pPr>
            <w:r w:rsidRPr="00904FFB">
              <w:rPr>
                <w:rFonts w:ascii="Inter" w:hAnsi="Inter" w:cs="Arial"/>
                <w:color w:val="484848"/>
                <w:sz w:val="21"/>
                <w:szCs w:val="21"/>
              </w:rPr>
              <w:t>Бухгалтер</w:t>
            </w:r>
          </w:p>
          <w:p w:rsidR="00904FFB" w:rsidRPr="00904FFB" w:rsidRDefault="00904FFB" w:rsidP="00F33397">
            <w:pPr>
              <w:spacing w:after="100" w:afterAutospacing="1"/>
              <w:rPr>
                <w:rFonts w:ascii="Inter" w:hAnsi="Inter" w:cs="Arial"/>
                <w:color w:val="484848"/>
                <w:sz w:val="21"/>
                <w:szCs w:val="21"/>
              </w:rPr>
            </w:pPr>
            <w:r w:rsidRPr="00904FFB">
              <w:rPr>
                <w:rFonts w:ascii="Inter" w:hAnsi="Inter" w:cs="Arial"/>
                <w:color w:val="484848"/>
                <w:sz w:val="21"/>
                <w:szCs w:val="21"/>
              </w:rPr>
              <w:t> </w:t>
            </w:r>
          </w:p>
        </w:tc>
        <w:tc>
          <w:tcPr>
            <w:tcW w:w="3791" w:type="dxa"/>
            <w:shd w:val="clear" w:color="auto" w:fill="FFFFFF"/>
            <w:vAlign w:val="center"/>
            <w:hideMark/>
          </w:tcPr>
          <w:p w:rsidR="00904FFB" w:rsidRPr="00904FFB" w:rsidRDefault="00904FFB" w:rsidP="00F33397">
            <w:pPr>
              <w:spacing w:after="100" w:afterAutospacing="1"/>
              <w:rPr>
                <w:rFonts w:ascii="Inter" w:hAnsi="Inter" w:cs="Arial"/>
                <w:color w:val="484848"/>
                <w:sz w:val="21"/>
                <w:szCs w:val="21"/>
              </w:rPr>
            </w:pPr>
            <w:r w:rsidRPr="00904FFB">
              <w:rPr>
                <w:rFonts w:ascii="Inter" w:hAnsi="Inter" w:cs="Arial"/>
                <w:color w:val="484848"/>
                <w:sz w:val="21"/>
                <w:szCs w:val="21"/>
              </w:rPr>
              <w:t>Оплата рабочего времени в полном объеме в случае, когда работник фактически отсутствовал на рабочем месте. Оплата труда в соответствии с критериями оценки деятельности предприятия, доступ к денежным средствам</w:t>
            </w:r>
          </w:p>
        </w:tc>
        <w:tc>
          <w:tcPr>
            <w:tcW w:w="3119" w:type="dxa"/>
            <w:shd w:val="clear" w:color="auto" w:fill="FFFFFF"/>
            <w:vAlign w:val="center"/>
            <w:hideMark/>
          </w:tcPr>
          <w:p w:rsidR="00904FFB" w:rsidRPr="00904FFB" w:rsidRDefault="00904FFB" w:rsidP="00F33397">
            <w:pPr>
              <w:spacing w:after="100" w:afterAutospacing="1"/>
              <w:rPr>
                <w:rFonts w:ascii="Inter" w:hAnsi="Inter" w:cs="Arial"/>
                <w:color w:val="484848"/>
                <w:sz w:val="21"/>
                <w:szCs w:val="21"/>
              </w:rPr>
            </w:pPr>
            <w:r w:rsidRPr="00904FFB">
              <w:rPr>
                <w:rFonts w:ascii="Inter" w:hAnsi="Inter" w:cs="Arial"/>
                <w:color w:val="484848"/>
                <w:sz w:val="21"/>
                <w:szCs w:val="21"/>
              </w:rPr>
              <w:t>Факты не установлены</w:t>
            </w:r>
          </w:p>
        </w:tc>
        <w:tc>
          <w:tcPr>
            <w:tcW w:w="2598" w:type="dxa"/>
            <w:shd w:val="clear" w:color="auto" w:fill="FFFFFF"/>
            <w:vAlign w:val="center"/>
            <w:hideMark/>
          </w:tcPr>
          <w:p w:rsidR="00904FFB" w:rsidRPr="00904FFB" w:rsidRDefault="00904FFB" w:rsidP="00F33397">
            <w:pPr>
              <w:spacing w:after="100" w:afterAutospacing="1"/>
              <w:rPr>
                <w:rFonts w:ascii="Inter" w:hAnsi="Inter" w:cs="Arial"/>
                <w:color w:val="484848"/>
                <w:sz w:val="21"/>
                <w:szCs w:val="21"/>
              </w:rPr>
            </w:pPr>
            <w:r w:rsidRPr="00904FFB">
              <w:rPr>
                <w:rFonts w:ascii="Inter" w:hAnsi="Inter" w:cs="Arial"/>
                <w:color w:val="484848"/>
                <w:sz w:val="21"/>
                <w:szCs w:val="21"/>
              </w:rPr>
              <w:t>Высокий</w:t>
            </w:r>
          </w:p>
        </w:tc>
      </w:tr>
    </w:tbl>
    <w:p w:rsidR="00012B71" w:rsidRDefault="00012B71"/>
    <w:sectPr w:rsidR="00012B71" w:rsidSect="00904FFB">
      <w:pgSz w:w="16838" w:h="11906" w:orient="landscape"/>
      <w:pgMar w:top="85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Kazakh">
    <w:altName w:val="Times New Roman"/>
    <w:charset w:val="00"/>
    <w:family w:val="auto"/>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78"/>
    <w:rsid w:val="00012B71"/>
    <w:rsid w:val="000C26EA"/>
    <w:rsid w:val="00144878"/>
    <w:rsid w:val="007F23D3"/>
    <w:rsid w:val="00904FFB"/>
    <w:rsid w:val="00FE3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EA"/>
    <w:rPr>
      <w:sz w:val="28"/>
      <w:lang w:eastAsia="ru-RU"/>
    </w:rPr>
  </w:style>
  <w:style w:type="paragraph" w:styleId="1">
    <w:name w:val="heading 1"/>
    <w:basedOn w:val="a"/>
    <w:next w:val="a"/>
    <w:link w:val="10"/>
    <w:qFormat/>
    <w:rsid w:val="000C26EA"/>
    <w:pPr>
      <w:keepNext/>
      <w:jc w:val="center"/>
      <w:outlineLvl w:val="0"/>
    </w:pPr>
    <w:rPr>
      <w:rFonts w:eastAsiaTheme="majorEastAsia" w:cstheme="majorBidi"/>
      <w:b/>
      <w:bCs/>
      <w:sz w:val="16"/>
      <w:lang w:eastAsia="en-US"/>
    </w:rPr>
  </w:style>
  <w:style w:type="paragraph" w:styleId="2">
    <w:name w:val="heading 2"/>
    <w:basedOn w:val="a"/>
    <w:next w:val="a"/>
    <w:link w:val="20"/>
    <w:unhideWhenUsed/>
    <w:qFormat/>
    <w:rsid w:val="000C26EA"/>
    <w:pPr>
      <w:keepNext/>
      <w:spacing w:before="240" w:after="60"/>
      <w:outlineLvl w:val="1"/>
    </w:pPr>
    <w:rPr>
      <w:rFonts w:ascii="Cambria" w:eastAsiaTheme="majorEastAsia" w:hAnsi="Cambria" w:cstheme="majorBidi"/>
      <w:b/>
      <w:bCs/>
      <w:i/>
      <w:iCs/>
      <w:szCs w:val="28"/>
      <w:lang w:eastAsia="en-US"/>
    </w:rPr>
  </w:style>
  <w:style w:type="paragraph" w:styleId="4">
    <w:name w:val="heading 4"/>
    <w:basedOn w:val="a"/>
    <w:next w:val="a"/>
    <w:link w:val="40"/>
    <w:qFormat/>
    <w:rsid w:val="000C26EA"/>
    <w:pPr>
      <w:keepNext/>
      <w:jc w:val="center"/>
      <w:outlineLvl w:val="3"/>
    </w:pPr>
    <w:rPr>
      <w:rFonts w:ascii="Times/Kazakh" w:eastAsiaTheme="majorEastAsia" w:hAnsi="Times/Kazakh" w:cstheme="majorBidi"/>
      <w:b/>
      <w:lang w:val="en-US" w:eastAsia="ko-KR"/>
    </w:rPr>
  </w:style>
  <w:style w:type="paragraph" w:styleId="6">
    <w:name w:val="heading 6"/>
    <w:basedOn w:val="a"/>
    <w:next w:val="a"/>
    <w:link w:val="60"/>
    <w:qFormat/>
    <w:rsid w:val="000C26EA"/>
    <w:pPr>
      <w:keepNext/>
      <w:jc w:val="center"/>
      <w:outlineLvl w:val="5"/>
    </w:pPr>
    <w:rPr>
      <w:rFonts w:ascii="KZ Times New Roman" w:eastAsiaTheme="majorEastAsia" w:hAnsi="KZ Times New Roman" w:cstheme="majorBidi"/>
      <w:sz w:val="48"/>
      <w:lang w:val="en-US"/>
    </w:rPr>
  </w:style>
  <w:style w:type="paragraph" w:styleId="7">
    <w:name w:val="heading 7"/>
    <w:basedOn w:val="a"/>
    <w:next w:val="a"/>
    <w:link w:val="70"/>
    <w:qFormat/>
    <w:rsid w:val="000C26EA"/>
    <w:pPr>
      <w:keepNext/>
      <w:outlineLvl w:val="6"/>
    </w:pPr>
    <w:rPr>
      <w:rFonts w:ascii="KZ Times New Roman" w:eastAsiaTheme="majorEastAsia" w:hAnsi="KZ Times New Roman" w:cstheme="majorBidi"/>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26EA"/>
    <w:rPr>
      <w:rFonts w:eastAsiaTheme="majorEastAsia" w:cstheme="majorBidi"/>
      <w:b/>
      <w:bCs/>
      <w:sz w:val="16"/>
    </w:rPr>
  </w:style>
  <w:style w:type="character" w:customStyle="1" w:styleId="20">
    <w:name w:val="Заголовок 2 Знак"/>
    <w:link w:val="2"/>
    <w:rsid w:val="000C26EA"/>
    <w:rPr>
      <w:rFonts w:ascii="Cambria" w:eastAsiaTheme="majorEastAsia" w:hAnsi="Cambria" w:cstheme="majorBidi"/>
      <w:b/>
      <w:bCs/>
      <w:i/>
      <w:iCs/>
      <w:sz w:val="28"/>
      <w:szCs w:val="28"/>
    </w:rPr>
  </w:style>
  <w:style w:type="character" w:customStyle="1" w:styleId="40">
    <w:name w:val="Заголовок 4 Знак"/>
    <w:basedOn w:val="a0"/>
    <w:link w:val="4"/>
    <w:rsid w:val="007F23D3"/>
    <w:rPr>
      <w:rFonts w:ascii="Times/Kazakh" w:eastAsiaTheme="majorEastAsia" w:hAnsi="Times/Kazakh" w:cstheme="majorBidi"/>
      <w:b/>
      <w:sz w:val="28"/>
      <w:lang w:val="en-US" w:eastAsia="ko-KR"/>
    </w:rPr>
  </w:style>
  <w:style w:type="character" w:customStyle="1" w:styleId="60">
    <w:name w:val="Заголовок 6 Знак"/>
    <w:basedOn w:val="a0"/>
    <w:link w:val="6"/>
    <w:rsid w:val="007F23D3"/>
    <w:rPr>
      <w:rFonts w:ascii="KZ Times New Roman" w:eastAsiaTheme="majorEastAsia" w:hAnsi="KZ Times New Roman" w:cstheme="majorBidi"/>
      <w:sz w:val="48"/>
      <w:lang w:val="en-US" w:eastAsia="ru-RU"/>
    </w:rPr>
  </w:style>
  <w:style w:type="character" w:customStyle="1" w:styleId="70">
    <w:name w:val="Заголовок 7 Знак"/>
    <w:basedOn w:val="a0"/>
    <w:link w:val="7"/>
    <w:rsid w:val="007F23D3"/>
    <w:rPr>
      <w:rFonts w:ascii="KZ Times New Roman" w:eastAsiaTheme="majorEastAsia" w:hAnsi="KZ Times New Roman" w:cstheme="majorBidi"/>
      <w:b/>
      <w:sz w:val="28"/>
      <w:lang w:val="en-US" w:eastAsia="ru-RU"/>
    </w:rPr>
  </w:style>
  <w:style w:type="character" w:styleId="a3">
    <w:name w:val="Strong"/>
    <w:uiPriority w:val="22"/>
    <w:qFormat/>
    <w:rsid w:val="000C26EA"/>
    <w:rPr>
      <w:b/>
      <w:bCs/>
    </w:rPr>
  </w:style>
  <w:style w:type="character" w:styleId="a4">
    <w:name w:val="Emphasis"/>
    <w:uiPriority w:val="20"/>
    <w:qFormat/>
    <w:rsid w:val="000C26EA"/>
    <w:rPr>
      <w:i/>
      <w:iCs/>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rsid w:val="00FE380E"/>
    <w:pPr>
      <w:spacing w:after="160" w:line="259" w:lineRule="auto"/>
    </w:pPr>
    <w:rPr>
      <w:sz w:val="24"/>
      <w:szCs w:val="24"/>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FE380E"/>
    <w:rPr>
      <w:rFonts w:ascii="Times New Roman" w:hAnsi="Times New Roman" w:cs="Times New Roman"/>
      <w:sz w:val="24"/>
      <w:szCs w:val="24"/>
    </w:rPr>
  </w:style>
  <w:style w:type="paragraph" w:styleId="a7">
    <w:name w:val="No Spacing"/>
    <w:uiPriority w:val="1"/>
    <w:qFormat/>
    <w:rsid w:val="00FE380E"/>
    <w:rPr>
      <w:sz w:val="28"/>
      <w:lang w:eastAsia="ru-RU"/>
    </w:rPr>
  </w:style>
  <w:style w:type="paragraph" w:styleId="a8">
    <w:name w:val="List Paragraph"/>
    <w:basedOn w:val="a"/>
    <w:uiPriority w:val="34"/>
    <w:qFormat/>
    <w:rsid w:val="00FE380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EA"/>
    <w:rPr>
      <w:sz w:val="28"/>
      <w:lang w:eastAsia="ru-RU"/>
    </w:rPr>
  </w:style>
  <w:style w:type="paragraph" w:styleId="1">
    <w:name w:val="heading 1"/>
    <w:basedOn w:val="a"/>
    <w:next w:val="a"/>
    <w:link w:val="10"/>
    <w:qFormat/>
    <w:rsid w:val="000C26EA"/>
    <w:pPr>
      <w:keepNext/>
      <w:jc w:val="center"/>
      <w:outlineLvl w:val="0"/>
    </w:pPr>
    <w:rPr>
      <w:rFonts w:eastAsiaTheme="majorEastAsia" w:cstheme="majorBidi"/>
      <w:b/>
      <w:bCs/>
      <w:sz w:val="16"/>
      <w:lang w:eastAsia="en-US"/>
    </w:rPr>
  </w:style>
  <w:style w:type="paragraph" w:styleId="2">
    <w:name w:val="heading 2"/>
    <w:basedOn w:val="a"/>
    <w:next w:val="a"/>
    <w:link w:val="20"/>
    <w:unhideWhenUsed/>
    <w:qFormat/>
    <w:rsid w:val="000C26EA"/>
    <w:pPr>
      <w:keepNext/>
      <w:spacing w:before="240" w:after="60"/>
      <w:outlineLvl w:val="1"/>
    </w:pPr>
    <w:rPr>
      <w:rFonts w:ascii="Cambria" w:eastAsiaTheme="majorEastAsia" w:hAnsi="Cambria" w:cstheme="majorBidi"/>
      <w:b/>
      <w:bCs/>
      <w:i/>
      <w:iCs/>
      <w:szCs w:val="28"/>
      <w:lang w:eastAsia="en-US"/>
    </w:rPr>
  </w:style>
  <w:style w:type="paragraph" w:styleId="4">
    <w:name w:val="heading 4"/>
    <w:basedOn w:val="a"/>
    <w:next w:val="a"/>
    <w:link w:val="40"/>
    <w:qFormat/>
    <w:rsid w:val="000C26EA"/>
    <w:pPr>
      <w:keepNext/>
      <w:jc w:val="center"/>
      <w:outlineLvl w:val="3"/>
    </w:pPr>
    <w:rPr>
      <w:rFonts w:ascii="Times/Kazakh" w:eastAsiaTheme="majorEastAsia" w:hAnsi="Times/Kazakh" w:cstheme="majorBidi"/>
      <w:b/>
      <w:lang w:val="en-US" w:eastAsia="ko-KR"/>
    </w:rPr>
  </w:style>
  <w:style w:type="paragraph" w:styleId="6">
    <w:name w:val="heading 6"/>
    <w:basedOn w:val="a"/>
    <w:next w:val="a"/>
    <w:link w:val="60"/>
    <w:qFormat/>
    <w:rsid w:val="000C26EA"/>
    <w:pPr>
      <w:keepNext/>
      <w:jc w:val="center"/>
      <w:outlineLvl w:val="5"/>
    </w:pPr>
    <w:rPr>
      <w:rFonts w:ascii="KZ Times New Roman" w:eastAsiaTheme="majorEastAsia" w:hAnsi="KZ Times New Roman" w:cstheme="majorBidi"/>
      <w:sz w:val="48"/>
      <w:lang w:val="en-US"/>
    </w:rPr>
  </w:style>
  <w:style w:type="paragraph" w:styleId="7">
    <w:name w:val="heading 7"/>
    <w:basedOn w:val="a"/>
    <w:next w:val="a"/>
    <w:link w:val="70"/>
    <w:qFormat/>
    <w:rsid w:val="000C26EA"/>
    <w:pPr>
      <w:keepNext/>
      <w:outlineLvl w:val="6"/>
    </w:pPr>
    <w:rPr>
      <w:rFonts w:ascii="KZ Times New Roman" w:eastAsiaTheme="majorEastAsia" w:hAnsi="KZ Times New Roman" w:cstheme="majorBidi"/>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26EA"/>
    <w:rPr>
      <w:rFonts w:eastAsiaTheme="majorEastAsia" w:cstheme="majorBidi"/>
      <w:b/>
      <w:bCs/>
      <w:sz w:val="16"/>
    </w:rPr>
  </w:style>
  <w:style w:type="character" w:customStyle="1" w:styleId="20">
    <w:name w:val="Заголовок 2 Знак"/>
    <w:link w:val="2"/>
    <w:rsid w:val="000C26EA"/>
    <w:rPr>
      <w:rFonts w:ascii="Cambria" w:eastAsiaTheme="majorEastAsia" w:hAnsi="Cambria" w:cstheme="majorBidi"/>
      <w:b/>
      <w:bCs/>
      <w:i/>
      <w:iCs/>
      <w:sz w:val="28"/>
      <w:szCs w:val="28"/>
    </w:rPr>
  </w:style>
  <w:style w:type="character" w:customStyle="1" w:styleId="40">
    <w:name w:val="Заголовок 4 Знак"/>
    <w:basedOn w:val="a0"/>
    <w:link w:val="4"/>
    <w:rsid w:val="007F23D3"/>
    <w:rPr>
      <w:rFonts w:ascii="Times/Kazakh" w:eastAsiaTheme="majorEastAsia" w:hAnsi="Times/Kazakh" w:cstheme="majorBidi"/>
      <w:b/>
      <w:sz w:val="28"/>
      <w:lang w:val="en-US" w:eastAsia="ko-KR"/>
    </w:rPr>
  </w:style>
  <w:style w:type="character" w:customStyle="1" w:styleId="60">
    <w:name w:val="Заголовок 6 Знак"/>
    <w:basedOn w:val="a0"/>
    <w:link w:val="6"/>
    <w:rsid w:val="007F23D3"/>
    <w:rPr>
      <w:rFonts w:ascii="KZ Times New Roman" w:eastAsiaTheme="majorEastAsia" w:hAnsi="KZ Times New Roman" w:cstheme="majorBidi"/>
      <w:sz w:val="48"/>
      <w:lang w:val="en-US" w:eastAsia="ru-RU"/>
    </w:rPr>
  </w:style>
  <w:style w:type="character" w:customStyle="1" w:styleId="70">
    <w:name w:val="Заголовок 7 Знак"/>
    <w:basedOn w:val="a0"/>
    <w:link w:val="7"/>
    <w:rsid w:val="007F23D3"/>
    <w:rPr>
      <w:rFonts w:ascii="KZ Times New Roman" w:eastAsiaTheme="majorEastAsia" w:hAnsi="KZ Times New Roman" w:cstheme="majorBidi"/>
      <w:b/>
      <w:sz w:val="28"/>
      <w:lang w:val="en-US" w:eastAsia="ru-RU"/>
    </w:rPr>
  </w:style>
  <w:style w:type="character" w:styleId="a3">
    <w:name w:val="Strong"/>
    <w:uiPriority w:val="22"/>
    <w:qFormat/>
    <w:rsid w:val="000C26EA"/>
    <w:rPr>
      <w:b/>
      <w:bCs/>
    </w:rPr>
  </w:style>
  <w:style w:type="character" w:styleId="a4">
    <w:name w:val="Emphasis"/>
    <w:uiPriority w:val="20"/>
    <w:qFormat/>
    <w:rsid w:val="000C26EA"/>
    <w:rPr>
      <w:i/>
      <w:iCs/>
    </w:rPr>
  </w:style>
  <w:style w:type="paragraph" w:styleId="a5">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6"/>
    <w:uiPriority w:val="99"/>
    <w:unhideWhenUsed/>
    <w:rsid w:val="00FE380E"/>
    <w:pPr>
      <w:spacing w:after="160" w:line="259" w:lineRule="auto"/>
    </w:pPr>
    <w:rPr>
      <w:sz w:val="24"/>
      <w:szCs w:val="24"/>
    </w:rPr>
  </w:style>
  <w:style w:type="character" w:customStyle="1" w:styleId="a6">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5"/>
    <w:uiPriority w:val="99"/>
    <w:locked/>
    <w:rsid w:val="00FE380E"/>
    <w:rPr>
      <w:rFonts w:ascii="Times New Roman" w:hAnsi="Times New Roman" w:cs="Times New Roman"/>
      <w:sz w:val="24"/>
      <w:szCs w:val="24"/>
    </w:rPr>
  </w:style>
  <w:style w:type="paragraph" w:styleId="a7">
    <w:name w:val="No Spacing"/>
    <w:uiPriority w:val="1"/>
    <w:qFormat/>
    <w:rsid w:val="00FE380E"/>
    <w:rPr>
      <w:sz w:val="28"/>
      <w:lang w:eastAsia="ru-RU"/>
    </w:rPr>
  </w:style>
  <w:style w:type="paragraph" w:styleId="a8">
    <w:name w:val="List Paragraph"/>
    <w:basedOn w:val="a"/>
    <w:uiPriority w:val="34"/>
    <w:qFormat/>
    <w:rsid w:val="00FE380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2025-05-08T06:30:00Z</dcterms:created>
  <dcterms:modified xsi:type="dcterms:W3CDTF">2025-05-08T06:34:00Z</dcterms:modified>
</cp:coreProperties>
</file>